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F77" w:rsidRDefault="005C2F77" w:rsidP="005C2F77">
      <w:pPr>
        <w:rPr>
          <w:noProof/>
          <w:lang w:eastAsia="fr-FR"/>
        </w:rPr>
      </w:pPr>
    </w:p>
    <w:p w:rsidR="005C2F77" w:rsidRPr="005C2F77" w:rsidRDefault="005C2F77" w:rsidP="005C2F77">
      <w:pPr>
        <w:ind w:left="360"/>
        <w:rPr>
          <w:rFonts w:ascii="Algerian" w:hAnsi="Algerian" w:cs="Arial"/>
          <w:sz w:val="32"/>
          <w:szCs w:val="32"/>
          <w:u w:val="single"/>
        </w:rPr>
      </w:pPr>
      <w:r w:rsidRPr="005C2F77">
        <w:rPr>
          <w:rFonts w:ascii="Algerian" w:hAnsi="Algerian" w:cs="Arial"/>
          <w:sz w:val="32"/>
          <w:szCs w:val="32"/>
        </w:rPr>
        <w:t xml:space="preserve">Les activités du Barreau </w:t>
      </w:r>
      <w:r w:rsidRPr="005C2F77">
        <w:rPr>
          <w:rFonts w:ascii="Algerian" w:hAnsi="Algerian" w:cs="Arial"/>
          <w:sz w:val="32"/>
          <w:szCs w:val="32"/>
          <w:u w:val="single"/>
        </w:rPr>
        <w:t>de GITEGA dans le cadre du Projet d’aide légale finance par CORDAID</w:t>
      </w:r>
    </w:p>
    <w:p w:rsidR="005C2F77" w:rsidRPr="001615C8" w:rsidRDefault="005C2F77" w:rsidP="005C2F77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t>Consultation juridique de proximité au chef-lieu de la zone Bwagiriza (Commune Butezi)</w:t>
      </w:r>
    </w:p>
    <w:p w:rsidR="005C2F77" w:rsidRDefault="005C2F77" w:rsidP="005C2F77">
      <w:pPr>
        <w:rPr>
          <w:noProof/>
          <w:lang w:eastAsia="fr-FR"/>
        </w:rPr>
      </w:pPr>
    </w:p>
    <w:p w:rsidR="005C2F77" w:rsidRDefault="005C2F77" w:rsidP="005C2F77">
      <w:pPr>
        <w:rPr>
          <w:noProof/>
          <w:lang w:eastAsia="fr-FR"/>
        </w:rPr>
      </w:pPr>
      <w:r w:rsidRPr="00F7578D">
        <w:rPr>
          <w:noProof/>
          <w:lang w:val="en-US"/>
        </w:rPr>
        <w:drawing>
          <wp:inline distT="0" distB="0" distL="0" distR="0">
            <wp:extent cx="2819400" cy="37566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77" w:rsidRPr="005C2F77" w:rsidRDefault="005C2F77" w:rsidP="005C2F77">
      <w:pPr>
        <w:ind w:left="567"/>
        <w:rPr>
          <w:rFonts w:ascii="Arial" w:hAnsi="Arial" w:cs="Arial"/>
          <w:sz w:val="24"/>
          <w:szCs w:val="24"/>
        </w:rPr>
      </w:pPr>
    </w:p>
    <w:p w:rsidR="005C2F77" w:rsidRPr="005C2F77" w:rsidRDefault="005C2F77" w:rsidP="005C2F77">
      <w:pPr>
        <w:ind w:left="1068"/>
        <w:rPr>
          <w:rFonts w:ascii="Arial" w:hAnsi="Arial" w:cs="Arial"/>
          <w:sz w:val="24"/>
          <w:szCs w:val="24"/>
        </w:rPr>
      </w:pPr>
    </w:p>
    <w:p w:rsidR="005C2F77" w:rsidRPr="005C2F77" w:rsidRDefault="005C2F77" w:rsidP="005C2F77">
      <w:pPr>
        <w:ind w:left="1068"/>
        <w:rPr>
          <w:rFonts w:ascii="Arial" w:hAnsi="Arial" w:cs="Arial"/>
          <w:sz w:val="24"/>
          <w:szCs w:val="24"/>
        </w:rPr>
      </w:pPr>
    </w:p>
    <w:p w:rsidR="005C2F77" w:rsidRPr="005C2F77" w:rsidRDefault="005C2F77" w:rsidP="005C2F77">
      <w:pPr>
        <w:ind w:left="1068"/>
        <w:rPr>
          <w:rFonts w:ascii="Arial" w:hAnsi="Arial" w:cs="Arial"/>
          <w:sz w:val="24"/>
          <w:szCs w:val="24"/>
        </w:rPr>
      </w:pPr>
    </w:p>
    <w:p w:rsidR="005C2F77" w:rsidRPr="005C2F77" w:rsidRDefault="005C2F77" w:rsidP="005C2F77">
      <w:pPr>
        <w:ind w:left="708"/>
        <w:rPr>
          <w:rFonts w:ascii="Arial" w:hAnsi="Arial" w:cs="Arial"/>
          <w:sz w:val="24"/>
          <w:szCs w:val="24"/>
        </w:rPr>
      </w:pPr>
    </w:p>
    <w:p w:rsidR="005C2F77" w:rsidRPr="005C2F77" w:rsidRDefault="005C2F77" w:rsidP="005C2F77">
      <w:pPr>
        <w:ind w:left="708"/>
        <w:rPr>
          <w:rFonts w:ascii="Arial" w:hAnsi="Arial" w:cs="Arial"/>
          <w:sz w:val="24"/>
          <w:szCs w:val="24"/>
        </w:rPr>
      </w:pPr>
    </w:p>
    <w:p w:rsidR="005C2F77" w:rsidRDefault="005C2F77" w:rsidP="005C2F77">
      <w:pPr>
        <w:ind w:left="1068"/>
        <w:rPr>
          <w:rFonts w:ascii="Arial" w:hAnsi="Arial" w:cs="Arial"/>
          <w:sz w:val="24"/>
          <w:szCs w:val="24"/>
        </w:rPr>
      </w:pPr>
    </w:p>
    <w:p w:rsidR="005C2F77" w:rsidRDefault="005C2F77" w:rsidP="005C2F77">
      <w:pPr>
        <w:ind w:left="1068"/>
        <w:rPr>
          <w:rFonts w:ascii="Arial" w:hAnsi="Arial" w:cs="Arial"/>
          <w:sz w:val="24"/>
          <w:szCs w:val="24"/>
        </w:rPr>
      </w:pPr>
    </w:p>
    <w:p w:rsidR="005C2F77" w:rsidRDefault="005C2F77" w:rsidP="005C2F77">
      <w:pPr>
        <w:ind w:left="1068"/>
        <w:rPr>
          <w:rFonts w:ascii="Arial" w:hAnsi="Arial" w:cs="Arial"/>
          <w:sz w:val="24"/>
          <w:szCs w:val="24"/>
        </w:rPr>
      </w:pPr>
    </w:p>
    <w:p w:rsidR="005C2F77" w:rsidRPr="005C2F77" w:rsidRDefault="005C2F77" w:rsidP="005C2F77">
      <w:pPr>
        <w:ind w:left="1068"/>
        <w:rPr>
          <w:rFonts w:ascii="Arial" w:hAnsi="Arial" w:cs="Arial"/>
          <w:sz w:val="24"/>
          <w:szCs w:val="24"/>
        </w:rPr>
      </w:pPr>
    </w:p>
    <w:p w:rsidR="005C2F77" w:rsidRPr="001615C8" w:rsidRDefault="005C2F77" w:rsidP="005C2F77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w:t xml:space="preserve">Complémentarité entre la Clinique juridique de Ruyigi et les autorités administratives provinciales et judiciaires (TGI et Parquet) locales dans la sensibilisation </w:t>
      </w:r>
    </w:p>
    <w:p w:rsidR="005C2F77" w:rsidRDefault="005C2F77" w:rsidP="005C2F77">
      <w:pPr>
        <w:ind w:left="360"/>
        <w:rPr>
          <w:noProof/>
          <w:lang w:eastAsia="fr-FR"/>
        </w:rPr>
      </w:pPr>
      <w:r w:rsidRPr="00F7578D">
        <w:rPr>
          <w:noProof/>
          <w:lang w:val="en-US"/>
        </w:rPr>
        <w:drawing>
          <wp:inline distT="0" distB="0" distL="0" distR="0">
            <wp:extent cx="3764280" cy="2834640"/>
            <wp:effectExtent l="0" t="0" r="762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77" w:rsidRDefault="005C2F77" w:rsidP="005C2F77">
      <w:pPr>
        <w:rPr>
          <w:noProof/>
          <w:lang w:eastAsia="fr-FR"/>
        </w:rPr>
      </w:pPr>
    </w:p>
    <w:p w:rsidR="005C2F77" w:rsidRPr="008B5328" w:rsidRDefault="005C2F77" w:rsidP="005C2F77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t>Les personnes vulnérables et les victimes des violations des droits sont assistées par des Avocats</w:t>
      </w:r>
      <w:r>
        <w:rPr>
          <w:noProof/>
          <w:lang w:eastAsia="fr-FR"/>
        </w:rPr>
        <w:t xml:space="preserve"> du Barreau de GITEGA</w:t>
      </w:r>
      <w:bookmarkStart w:id="0" w:name="_GoBack"/>
      <w:bookmarkEnd w:id="0"/>
      <w:r>
        <w:rPr>
          <w:noProof/>
          <w:lang w:eastAsia="fr-FR"/>
        </w:rPr>
        <w:t xml:space="preserve"> devant le juge</w:t>
      </w:r>
    </w:p>
    <w:p w:rsidR="00FA1E6C" w:rsidRDefault="005C2F77" w:rsidP="005C2F77">
      <w:r w:rsidRPr="00F7578D">
        <w:rPr>
          <w:noProof/>
          <w:lang w:val="en-US"/>
        </w:rPr>
        <w:drawing>
          <wp:inline distT="0" distB="0" distL="0" distR="0">
            <wp:extent cx="4099560" cy="30784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E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7A7" w:rsidRDefault="004707A7" w:rsidP="005C2F77">
      <w:pPr>
        <w:spacing w:after="0" w:line="240" w:lineRule="auto"/>
      </w:pPr>
      <w:r>
        <w:separator/>
      </w:r>
    </w:p>
  </w:endnote>
  <w:endnote w:type="continuationSeparator" w:id="0">
    <w:p w:rsidR="004707A7" w:rsidRDefault="004707A7" w:rsidP="005C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7A7" w:rsidRDefault="004707A7" w:rsidP="005C2F77">
      <w:pPr>
        <w:spacing w:after="0" w:line="240" w:lineRule="auto"/>
      </w:pPr>
      <w:r>
        <w:separator/>
      </w:r>
    </w:p>
  </w:footnote>
  <w:footnote w:type="continuationSeparator" w:id="0">
    <w:p w:rsidR="004707A7" w:rsidRDefault="004707A7" w:rsidP="005C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3C51AA"/>
    <w:multiLevelType w:val="hybridMultilevel"/>
    <w:tmpl w:val="FB324F08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F77"/>
    <w:rsid w:val="004707A7"/>
    <w:rsid w:val="005C2F77"/>
    <w:rsid w:val="00FA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D9CC0"/>
  <w15:chartTrackingRefBased/>
  <w15:docId w15:val="{5903E83A-5592-4C53-9B77-219B6BE9D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F77"/>
    <w:rPr>
      <w:rFonts w:ascii="Calibri" w:eastAsia="Calibri" w:hAnsi="Calibri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2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2F77"/>
    <w:rPr>
      <w:rFonts w:ascii="Calibri" w:eastAsia="Calibri" w:hAnsi="Calibri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C2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2F77"/>
    <w:rPr>
      <w:rFonts w:ascii="Calibri" w:eastAsia="Calibri" w:hAnsi="Calibri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BARREAU DE GITEGA</dc:creator>
  <cp:keywords/>
  <dc:description/>
  <cp:lastModifiedBy>BARREAU DE GITEGA</cp:lastModifiedBy>
  <cp:revision>1</cp:revision>
  <dcterms:created xsi:type="dcterms:W3CDTF">2024-01-10T15:16:00Z</dcterms:created>
  <dcterms:modified xsi:type="dcterms:W3CDTF">2024-01-10T15:23:00Z</dcterms:modified>
</cp:coreProperties>
</file>